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E" w:rsidRPr="00A951A9" w:rsidRDefault="00557101" w:rsidP="00DC6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="00AD69B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supplier</w:t>
      </w:r>
      <w:proofErr w:type="spellEnd"/>
      <w:r w:rsidR="00AD69B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client</w:t>
      </w:r>
      <w:proofErr w:type="spellEnd"/>
    </w:p>
    <w:p w:rsidR="00557101" w:rsidRDefault="00557101" w:rsidP="00DC6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01">
        <w:rPr>
          <w:rFonts w:ascii="Times New Roman" w:hAnsi="Times New Roman" w:cs="Times New Roman"/>
          <w:b/>
          <w:sz w:val="24"/>
          <w:szCs w:val="24"/>
        </w:rPr>
        <w:t>ON PERSONAL DATA PROCESSING</w:t>
      </w:r>
    </w:p>
    <w:p w:rsidR="00557101" w:rsidRDefault="00557101" w:rsidP="00DC69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pursuant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(EU) 2016/679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Parliament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Council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27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2016, </w:t>
      </w:r>
      <w:proofErr w:type="spellStart"/>
      <w:r w:rsidRPr="0055710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57101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57101">
        <w:rPr>
          <w:rFonts w:ascii="Times New Roman" w:hAnsi="Times New Roman" w:cs="Times New Roman"/>
          <w:b/>
          <w:sz w:val="24"/>
          <w:szCs w:val="24"/>
        </w:rPr>
        <w:t>GDPR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951A9" w:rsidRDefault="00A951A9" w:rsidP="00A951A9">
      <w:pPr>
        <w:spacing w:after="0"/>
        <w:jc w:val="both"/>
        <w:rPr>
          <w:rFonts w:ascii="Times New Roman" w:hAnsi="Times New Roman" w:cs="Times New Roman"/>
        </w:rPr>
      </w:pPr>
    </w:p>
    <w:p w:rsidR="004B1C19" w:rsidRPr="00CD053F" w:rsidRDefault="004B1C19" w:rsidP="0055710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D053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8B44D1">
        <w:rPr>
          <w:rFonts w:ascii="Times New Roman" w:hAnsi="Times New Roman" w:cs="Times New Roman"/>
          <w:b/>
          <w:i/>
          <w:sz w:val="20"/>
          <w:szCs w:val="20"/>
        </w:rPr>
        <w:t>under</w:t>
      </w:r>
      <w:proofErr w:type="spellEnd"/>
      <w:r w:rsidR="008B44D1">
        <w:rPr>
          <w:rFonts w:ascii="Times New Roman" w:hAnsi="Times New Roman" w:cs="Times New Roman"/>
          <w:b/>
          <w:i/>
          <w:sz w:val="20"/>
          <w:szCs w:val="20"/>
        </w:rPr>
        <w:t xml:space="preserve"> Art.</w:t>
      </w:r>
      <w:r w:rsidR="00557101" w:rsidRPr="00557101">
        <w:rPr>
          <w:rFonts w:ascii="Times New Roman" w:hAnsi="Times New Roman" w:cs="Times New Roman"/>
          <w:b/>
          <w:i/>
          <w:sz w:val="20"/>
          <w:szCs w:val="20"/>
        </w:rPr>
        <w:t xml:space="preserve"> 13 (1) </w:t>
      </w:r>
      <w:proofErr w:type="spellStart"/>
      <w:r w:rsidR="00557101" w:rsidRPr="00557101">
        <w:rPr>
          <w:rFonts w:ascii="Times New Roman" w:hAnsi="Times New Roman" w:cs="Times New Roman"/>
          <w:b/>
          <w:i/>
          <w:sz w:val="20"/>
          <w:szCs w:val="20"/>
        </w:rPr>
        <w:t>of</w:t>
      </w:r>
      <w:proofErr w:type="spellEnd"/>
      <w:r w:rsidR="00557101" w:rsidRPr="005571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57101" w:rsidRPr="00557101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spellEnd"/>
      <w:r w:rsidR="00557101" w:rsidRPr="00557101">
        <w:rPr>
          <w:rFonts w:ascii="Times New Roman" w:hAnsi="Times New Roman" w:cs="Times New Roman"/>
          <w:b/>
          <w:i/>
          <w:sz w:val="20"/>
          <w:szCs w:val="20"/>
        </w:rPr>
        <w:t xml:space="preserve"> GDPR</w:t>
      </w:r>
      <w:r w:rsidRPr="00CD053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tbl>
      <w:tblPr>
        <w:tblStyle w:val="Mkatabulky"/>
        <w:tblW w:w="10659" w:type="dxa"/>
        <w:tblLook w:val="04A0" w:firstRow="1" w:lastRow="0" w:firstColumn="1" w:lastColumn="0" w:noHBand="0" w:noVBand="1"/>
      </w:tblPr>
      <w:tblGrid>
        <w:gridCol w:w="2835"/>
        <w:gridCol w:w="4248"/>
        <w:gridCol w:w="3576"/>
      </w:tblGrid>
      <w:tr w:rsidR="004B1C19" w:rsidRPr="00BB66D8" w:rsidTr="00DC699F">
        <w:tc>
          <w:tcPr>
            <w:tcW w:w="2835" w:type="dxa"/>
          </w:tcPr>
          <w:p w:rsidR="00290E36" w:rsidRPr="00BB66D8" w:rsidRDefault="004F2ECA" w:rsidP="000A499C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F2ECA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4F2ECA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="000A499C"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="00290E36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290E36" w:rsidRPr="00BB66D8" w:rsidRDefault="001F3D76" w:rsidP="0002550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1A08">
              <w:rPr>
                <w:rFonts w:ascii="Times New Roman" w:hAnsi="Times New Roman" w:cs="Times New Roman"/>
                <w:sz w:val="21"/>
                <w:szCs w:val="21"/>
              </w:rPr>
              <w:t>GASCONTROL, společnost s r.o.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025506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>
              <w:rPr>
                <w:rFonts w:ascii="Times New Roman" w:hAnsi="Times New Roman" w:cs="Times New Roman"/>
                <w:sz w:val="21"/>
                <w:szCs w:val="21"/>
              </w:rPr>
              <w:t>registered</w:t>
            </w:r>
            <w:proofErr w:type="spellEnd"/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office: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1A08">
              <w:rPr>
                <w:rFonts w:ascii="Times New Roman" w:hAnsi="Times New Roman" w:cs="Times New Roman"/>
                <w:sz w:val="21"/>
                <w:szCs w:val="21"/>
              </w:rPr>
              <w:t>Nový Svět 1407/59a, Prostřední Suchá, 735 64 Havířov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25506">
              <w:rPr>
                <w:rFonts w:ascii="Times New Roman" w:hAnsi="Times New Roman" w:cs="Times New Roman"/>
                <w:sz w:val="21"/>
                <w:szCs w:val="21"/>
              </w:rPr>
              <w:t>ID</w:t>
            </w:r>
            <w:r w:rsidRPr="003F178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D31A08">
              <w:rPr>
                <w:rFonts w:ascii="Times New Roman" w:hAnsi="Times New Roman" w:cs="Times New Roman"/>
                <w:sz w:val="21"/>
                <w:szCs w:val="21"/>
              </w:rPr>
              <w:t>465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1A08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1A08">
              <w:rPr>
                <w:rFonts w:ascii="Times New Roman" w:hAnsi="Times New Roman" w:cs="Times New Roman"/>
                <w:sz w:val="21"/>
                <w:szCs w:val="21"/>
              </w:rPr>
              <w:t>021</w:t>
            </w:r>
            <w:r w:rsidRPr="003F178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registered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Commercial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Register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maintained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by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Regional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>Court</w:t>
            </w:r>
            <w:proofErr w:type="spellEnd"/>
            <w:r w:rsidR="00025506"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in Ostrava</w:t>
            </w:r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>
              <w:rPr>
                <w:rFonts w:ascii="Times New Roman" w:hAnsi="Times New Roman" w:cs="Times New Roman"/>
                <w:sz w:val="21"/>
                <w:szCs w:val="21"/>
              </w:rPr>
              <w:t>under</w:t>
            </w:r>
            <w:proofErr w:type="spellEnd"/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  <w:proofErr w:type="spellEnd"/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25506">
              <w:rPr>
                <w:rFonts w:ascii="Times New Roman" w:hAnsi="Times New Roman" w:cs="Times New Roman"/>
                <w:sz w:val="21"/>
                <w:szCs w:val="21"/>
              </w:rPr>
              <w:t>number</w:t>
            </w:r>
            <w:proofErr w:type="spellEnd"/>
            <w:r w:rsidR="00025506">
              <w:rPr>
                <w:rFonts w:ascii="Times New Roman" w:hAnsi="Times New Roman" w:cs="Times New Roman"/>
                <w:sz w:val="21"/>
                <w:szCs w:val="21"/>
              </w:rPr>
              <w:t xml:space="preserve"> C 3396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E06CB" w:rsidRPr="003F1783">
              <w:rPr>
                <w:rFonts w:ascii="Times New Roman" w:hAnsi="Times New Roman" w:cs="Times New Roman"/>
                <w:sz w:val="21"/>
                <w:szCs w:val="21"/>
              </w:rPr>
              <w:t xml:space="preserve">(dále </w:t>
            </w:r>
            <w:r w:rsidR="0025681B" w:rsidRPr="003F1783">
              <w:rPr>
                <w:rFonts w:ascii="Times New Roman" w:hAnsi="Times New Roman" w:cs="Times New Roman"/>
                <w:sz w:val="21"/>
                <w:szCs w:val="21"/>
              </w:rPr>
              <w:t>též</w:t>
            </w:r>
            <w:r w:rsidR="005A0D4F" w:rsidRPr="003F17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E06CB" w:rsidRPr="003F1783">
              <w:rPr>
                <w:rFonts w:ascii="Times New Roman" w:hAnsi="Times New Roman" w:cs="Times New Roman"/>
                <w:sz w:val="21"/>
                <w:szCs w:val="21"/>
              </w:rPr>
              <w:t>„</w:t>
            </w:r>
            <w:r w:rsidR="00025506">
              <w:rPr>
                <w:rFonts w:ascii="Times New Roman" w:hAnsi="Times New Roman" w:cs="Times New Roman"/>
                <w:i/>
                <w:sz w:val="21"/>
                <w:szCs w:val="21"/>
              </w:rPr>
              <w:t>Manager</w:t>
            </w:r>
            <w:r w:rsidR="00FE06CB" w:rsidRPr="003F1783">
              <w:rPr>
                <w:rFonts w:ascii="Times New Roman" w:hAnsi="Times New Roman" w:cs="Times New Roman"/>
                <w:sz w:val="21"/>
                <w:szCs w:val="21"/>
              </w:rPr>
              <w:t>“)</w:t>
            </w:r>
            <w:r w:rsidR="005A0D4F" w:rsidRPr="003F17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B1C19" w:rsidRPr="00BB66D8" w:rsidTr="00DC699F">
        <w:tc>
          <w:tcPr>
            <w:tcW w:w="2835" w:type="dxa"/>
          </w:tcPr>
          <w:p w:rsidR="00290E36" w:rsidRPr="00BB66D8" w:rsidRDefault="00025506" w:rsidP="00B16B47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Representative</w:t>
            </w:r>
            <w:proofErr w:type="spellEnd"/>
            <w:r w:rsidR="00290E36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290E36" w:rsidRPr="00BB66D8" w:rsidRDefault="00B10570" w:rsidP="00B16B4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Mgr. Richard Berný; email: </w:t>
            </w:r>
            <w:hyperlink r:id="rId9" w:history="1">
              <w:r w:rsidRPr="00E44A05">
                <w:rPr>
                  <w:rStyle w:val="Hypertextovodkaz"/>
                  <w:rFonts w:ascii="Times New Roman" w:hAnsi="Times New Roman" w:cs="Times New Roman"/>
                  <w:sz w:val="21"/>
                  <w:szCs w:val="21"/>
                </w:rPr>
                <w:t>berny@gascontrol.cz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; tel. +420601378682</w:t>
            </w:r>
          </w:p>
        </w:tc>
      </w:tr>
      <w:tr w:rsidR="004B1C19" w:rsidRPr="00BB66D8" w:rsidTr="00DC699F">
        <w:tc>
          <w:tcPr>
            <w:tcW w:w="2835" w:type="dxa"/>
          </w:tcPr>
          <w:p w:rsidR="00290E36" w:rsidRPr="00BB66D8" w:rsidRDefault="00025506" w:rsidP="00025506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urpose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="00290E36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A487A" w:rsidRPr="00BB66D8" w:rsidRDefault="00CA487A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73926" w:rsidRPr="00BB66D8" w:rsidRDefault="00373926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73926" w:rsidRDefault="00373926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14DC" w:rsidRPr="00BB66D8" w:rsidRDefault="00DF14DC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683F" w:rsidRPr="00BB66D8" w:rsidRDefault="007D683F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A487A" w:rsidRPr="00BB66D8" w:rsidRDefault="00025506" w:rsidP="00B16B47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Legal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reason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="00CA487A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8B44D1" w:rsidRPr="008B44D1" w:rsidRDefault="008B44D1" w:rsidP="000A499C">
            <w:pPr>
              <w:pStyle w:val="Odstavecseseznamem"/>
              <w:numPr>
                <w:ilvl w:val="0"/>
                <w:numId w:val="14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performance </w:t>
            </w:r>
            <w:proofErr w:type="spellStart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of</w:t>
            </w:r>
            <w:proofErr w:type="spellEnd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contracts</w:t>
            </w:r>
            <w:proofErr w:type="spellEnd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between</w:t>
            </w:r>
            <w:proofErr w:type="spellEnd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the</w:t>
            </w:r>
            <w:proofErr w:type="spellEnd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entity and </w:t>
            </w:r>
            <w:proofErr w:type="spellStart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the</w:t>
            </w:r>
            <w:proofErr w:type="spellEnd"/>
            <w:r w:rsidRPr="008B44D1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0A499C" w:rsidRPr="000A499C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Administrator</w:t>
            </w:r>
            <w:proofErr w:type="spellEnd"/>
          </w:p>
          <w:p w:rsidR="008B44D1" w:rsidRPr="008B44D1" w:rsidRDefault="008B44D1" w:rsidP="008B44D1">
            <w:pPr>
              <w:pStyle w:val="Odstavecseseznamem"/>
              <w:numPr>
                <w:ilvl w:val="0"/>
                <w:numId w:val="14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claims</w:t>
            </w:r>
            <w:proofErr w:type="spellEnd"/>
          </w:p>
          <w:p w:rsidR="008B44D1" w:rsidRDefault="008B44D1" w:rsidP="008B44D1">
            <w:pPr>
              <w:pStyle w:val="Odstavecseseznamem"/>
              <w:numPr>
                <w:ilvl w:val="0"/>
                <w:numId w:val="14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fulfillment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legal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obligations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(eg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archiving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4C61CD" w:rsidRDefault="004C61CD" w:rsidP="004C61CD">
            <w:pPr>
              <w:pStyle w:val="Odstavecseseznamem"/>
              <w:numPr>
                <w:ilvl w:val="0"/>
                <w:numId w:val="14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addressing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potential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customer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client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within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Marketing</w:t>
            </w:r>
          </w:p>
          <w:p w:rsidR="008B44D1" w:rsidRDefault="004C61CD" w:rsidP="004C61CD">
            <w:pPr>
              <w:pStyle w:val="Odstavecseseznamem"/>
              <w:numPr>
                <w:ilvl w:val="0"/>
                <w:numId w:val="14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purposes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contained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onsent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</w:p>
          <w:p w:rsidR="004C61CD" w:rsidRPr="008B44D1" w:rsidRDefault="004C61CD" w:rsidP="004C61CD">
            <w:pPr>
              <w:pStyle w:val="Odstavecseseznamem"/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61CD" w:rsidRDefault="004C61CD" w:rsidP="004C61CD">
            <w:pPr>
              <w:pStyle w:val="Odstavecseseznamem"/>
              <w:numPr>
                <w:ilvl w:val="0"/>
                <w:numId w:val="15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performance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contract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implementation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measures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taken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before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conclusion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contract</w:t>
            </w:r>
            <w:proofErr w:type="spellEnd"/>
          </w:p>
          <w:p w:rsidR="004C61CD" w:rsidRDefault="004C61CD" w:rsidP="004C61CD">
            <w:pPr>
              <w:pStyle w:val="Odstavecseseznamem"/>
              <w:numPr>
                <w:ilvl w:val="0"/>
                <w:numId w:val="15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fulfillment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obligation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C61CD" w:rsidRDefault="004C61CD" w:rsidP="000A499C">
            <w:pPr>
              <w:pStyle w:val="Odstavecseseznamem"/>
              <w:numPr>
                <w:ilvl w:val="0"/>
                <w:numId w:val="15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legitimate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interests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A499C"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third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party</w:t>
            </w:r>
          </w:p>
          <w:p w:rsidR="00CA487A" w:rsidRPr="008B44D1" w:rsidRDefault="004C61CD" w:rsidP="004C61CD">
            <w:pPr>
              <w:pStyle w:val="Odstavecseseznamem"/>
              <w:numPr>
                <w:ilvl w:val="0"/>
                <w:numId w:val="15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if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no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given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then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consent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4C61CD">
              <w:rPr>
                <w:rFonts w:ascii="Times New Roman" w:hAnsi="Times New Roman" w:cs="Times New Roman"/>
                <w:sz w:val="21"/>
                <w:szCs w:val="21"/>
              </w:rPr>
              <w:t xml:space="preserve"> data</w:t>
            </w:r>
          </w:p>
        </w:tc>
      </w:tr>
      <w:tr w:rsidR="004B1C19" w:rsidRPr="00BB66D8" w:rsidTr="00DC699F">
        <w:tc>
          <w:tcPr>
            <w:tcW w:w="2835" w:type="dxa"/>
            <w:tcBorders>
              <w:bottom w:val="single" w:sz="4" w:space="0" w:color="auto"/>
            </w:tcBorders>
          </w:tcPr>
          <w:p w:rsidR="00290E36" w:rsidRPr="00BB66D8" w:rsidRDefault="00025506" w:rsidP="000A499C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Eligible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interests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A499C"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third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party:</w:t>
            </w:r>
          </w:p>
        </w:tc>
        <w:tc>
          <w:tcPr>
            <w:tcW w:w="7824" w:type="dxa"/>
            <w:gridSpan w:val="2"/>
          </w:tcPr>
          <w:p w:rsidR="00290E36" w:rsidRPr="00BB66D8" w:rsidRDefault="000A499C" w:rsidP="005126C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customer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client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information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direct marketing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purposes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43D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offer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follow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-up and /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services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and /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goods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by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="001D43DD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 w:rsidR="004874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B1C19" w:rsidRPr="00BB66D8" w:rsidTr="000A33D9">
        <w:tc>
          <w:tcPr>
            <w:tcW w:w="2835" w:type="dxa"/>
            <w:tcBorders>
              <w:right w:val="single" w:sz="4" w:space="0" w:color="auto"/>
            </w:tcBorders>
          </w:tcPr>
          <w:p w:rsidR="004B1C19" w:rsidRPr="00BB66D8" w:rsidRDefault="00025506" w:rsidP="00025506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ategory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recipients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506" w:rsidRDefault="00025506" w:rsidP="00B16B47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external</w:t>
            </w:r>
            <w:proofErr w:type="spellEnd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 xml:space="preserve"> tax </w:t>
            </w:r>
            <w:proofErr w:type="spellStart"/>
            <w:r w:rsidRPr="00025506">
              <w:rPr>
                <w:rFonts w:ascii="Times New Roman" w:hAnsi="Times New Roman" w:cs="Times New Roman"/>
                <w:sz w:val="21"/>
                <w:szCs w:val="21"/>
              </w:rPr>
              <w:t>adviser</w:t>
            </w:r>
            <w:proofErr w:type="spellEnd"/>
          </w:p>
          <w:p w:rsidR="004B1C19" w:rsidRPr="00025506" w:rsidRDefault="00025506" w:rsidP="00025506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office</w:t>
            </w:r>
          </w:p>
          <w:p w:rsidR="004B1C19" w:rsidRPr="00BB66D8" w:rsidRDefault="00025506" w:rsidP="00B16B47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agence</w:t>
            </w:r>
            <w:proofErr w:type="spellEnd"/>
          </w:p>
        </w:tc>
        <w:tc>
          <w:tcPr>
            <w:tcW w:w="3576" w:type="dxa"/>
            <w:tcBorders>
              <w:left w:val="nil"/>
            </w:tcBorders>
          </w:tcPr>
          <w:p w:rsidR="004B1C19" w:rsidRPr="00BB66D8" w:rsidRDefault="00025506" w:rsidP="00B16B47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company</w:t>
            </w:r>
            <w:proofErr w:type="spellEnd"/>
          </w:p>
          <w:p w:rsidR="004B1C19" w:rsidRPr="00BB66D8" w:rsidRDefault="00025506" w:rsidP="00025506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public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authorities</w:t>
            </w:r>
            <w:proofErr w:type="spellEnd"/>
          </w:p>
        </w:tc>
      </w:tr>
      <w:tr w:rsidR="004B1C19" w:rsidRPr="00BB66D8" w:rsidTr="003F1783">
        <w:tc>
          <w:tcPr>
            <w:tcW w:w="2835" w:type="dxa"/>
          </w:tcPr>
          <w:p w:rsidR="00290E36" w:rsidRPr="00BB66D8" w:rsidRDefault="008B44D1" w:rsidP="008B44D1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intention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pass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data to a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third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country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international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organization</w:t>
            </w:r>
            <w:proofErr w:type="spellEnd"/>
            <w:r w:rsidR="00FE06CB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  <w:vAlign w:val="center"/>
          </w:tcPr>
          <w:p w:rsidR="00290E36" w:rsidRPr="00BB66D8" w:rsidRDefault="008B44D1" w:rsidP="003F1783">
            <w:p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A499C"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does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not </w:t>
            </w:r>
            <w:proofErr w:type="spellStart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>intend</w:t>
            </w:r>
            <w:proofErr w:type="spellEnd"/>
            <w:r w:rsidRPr="008B44D1">
              <w:rPr>
                <w:rFonts w:ascii="Times New Roman" w:hAnsi="Times New Roman" w:cs="Times New Roman"/>
                <w:sz w:val="21"/>
                <w:szCs w:val="21"/>
              </w:rPr>
              <w:t xml:space="preserve"> to.</w:t>
            </w:r>
          </w:p>
        </w:tc>
      </w:tr>
    </w:tbl>
    <w:p w:rsidR="004B1C19" w:rsidRPr="007D683F" w:rsidRDefault="004B1C19" w:rsidP="007D68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1C19" w:rsidRPr="00CD053F" w:rsidRDefault="004B1C19" w:rsidP="00DC699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D053F">
        <w:rPr>
          <w:b/>
          <w:i/>
          <w:sz w:val="20"/>
          <w:szCs w:val="20"/>
        </w:rPr>
        <w:t xml:space="preserve"> </w:t>
      </w:r>
      <w:r w:rsidRPr="00CD053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8B44D1">
        <w:rPr>
          <w:rFonts w:ascii="Times New Roman" w:hAnsi="Times New Roman" w:cs="Times New Roman"/>
          <w:b/>
          <w:i/>
          <w:sz w:val="20"/>
          <w:szCs w:val="20"/>
        </w:rPr>
        <w:t>under</w:t>
      </w:r>
      <w:proofErr w:type="spellEnd"/>
      <w:r w:rsidR="008B44D1">
        <w:rPr>
          <w:rFonts w:ascii="Times New Roman" w:hAnsi="Times New Roman" w:cs="Times New Roman"/>
          <w:b/>
          <w:i/>
          <w:sz w:val="20"/>
          <w:szCs w:val="20"/>
        </w:rPr>
        <w:t xml:space="preserve"> Art.</w:t>
      </w:r>
      <w:r w:rsidRPr="00CD053F">
        <w:rPr>
          <w:rFonts w:ascii="Times New Roman" w:hAnsi="Times New Roman" w:cs="Times New Roman"/>
          <w:b/>
          <w:i/>
          <w:sz w:val="20"/>
          <w:szCs w:val="20"/>
        </w:rPr>
        <w:t xml:space="preserve"> 13</w:t>
      </w:r>
      <w:r w:rsidR="008B44D1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CD053F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B44D1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proofErr w:type="spellStart"/>
      <w:r w:rsidR="008B44D1">
        <w:rPr>
          <w:rFonts w:ascii="Times New Roman" w:hAnsi="Times New Roman" w:cs="Times New Roman"/>
          <w:b/>
          <w:i/>
          <w:sz w:val="20"/>
          <w:szCs w:val="20"/>
        </w:rPr>
        <w:t>of</w:t>
      </w:r>
      <w:proofErr w:type="spellEnd"/>
      <w:r w:rsidR="008B44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8B44D1">
        <w:rPr>
          <w:rFonts w:ascii="Times New Roman" w:hAnsi="Times New Roman" w:cs="Times New Roman"/>
          <w:b/>
          <w:i/>
          <w:sz w:val="20"/>
          <w:szCs w:val="20"/>
        </w:rPr>
        <w:t>the</w:t>
      </w:r>
      <w:proofErr w:type="spellEnd"/>
      <w:r w:rsidR="008B44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053F">
        <w:rPr>
          <w:rFonts w:ascii="Times New Roman" w:hAnsi="Times New Roman" w:cs="Times New Roman"/>
          <w:b/>
          <w:i/>
          <w:sz w:val="20"/>
          <w:szCs w:val="20"/>
        </w:rPr>
        <w:t>GDPR)</w:t>
      </w:r>
    </w:p>
    <w:tbl>
      <w:tblPr>
        <w:tblStyle w:val="Mkatabulky"/>
        <w:tblW w:w="10659" w:type="dxa"/>
        <w:tblLook w:val="04A0" w:firstRow="1" w:lastRow="0" w:firstColumn="1" w:lastColumn="0" w:noHBand="0" w:noVBand="1"/>
      </w:tblPr>
      <w:tblGrid>
        <w:gridCol w:w="2835"/>
        <w:gridCol w:w="4248"/>
        <w:gridCol w:w="3576"/>
      </w:tblGrid>
      <w:tr w:rsidR="00DC699F" w:rsidRPr="00BB66D8" w:rsidTr="00DC699F">
        <w:tc>
          <w:tcPr>
            <w:tcW w:w="2835" w:type="dxa"/>
          </w:tcPr>
          <w:p w:rsidR="00FE06CB" w:rsidRPr="00BB66D8" w:rsidRDefault="000A499C" w:rsidP="000A499C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duration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data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storage</w:t>
            </w:r>
            <w:proofErr w:type="spellEnd"/>
            <w:r w:rsidR="00FE06CB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FE06CB" w:rsidRPr="00BB66D8" w:rsidRDefault="00635558" w:rsidP="00635558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In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accordance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deadlines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specified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relevant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agreements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internal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regulations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relevant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legislation</w:t>
            </w:r>
            <w:proofErr w:type="spellEnd"/>
            <w:r w:rsidR="00FE06CB"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limits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specified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relevant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contracts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insofar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as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it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necessary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secure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rights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obligations</w:t>
            </w:r>
            <w:proofErr w:type="spellEnd"/>
            <w: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arising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both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from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contractual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relationship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, as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well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as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regulation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B1C19" w:rsidRPr="00BB66D8" w:rsidTr="006A5E74">
        <w:tc>
          <w:tcPr>
            <w:tcW w:w="2835" w:type="dxa"/>
          </w:tcPr>
          <w:p w:rsidR="004B1C19" w:rsidRPr="00BB66D8" w:rsidRDefault="000A499C" w:rsidP="000A499C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Rights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subjects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in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relation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r w:rsidR="009C381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against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Administrator</w:t>
            </w:r>
            <w:proofErr w:type="spellEnd"/>
            <w:r w:rsidR="004B1C19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48" w:type="dxa"/>
            <w:tcBorders>
              <w:right w:val="nil"/>
            </w:tcBorders>
          </w:tcPr>
          <w:p w:rsidR="004B1C19" w:rsidRPr="00BB66D8" w:rsidRDefault="00497C01" w:rsidP="001200F3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26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require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access</w:t>
            </w:r>
            <w:proofErr w:type="spellEnd"/>
            <w:r w:rsidR="004B1C19" w:rsidRPr="00BB66D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1C19" w:rsidRPr="00BB66D8" w:rsidRDefault="00497C01" w:rsidP="001200F3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26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require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correction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inaccurate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data</w:t>
            </w:r>
            <w:r w:rsidR="004B1C19" w:rsidRPr="00BB66D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1C19" w:rsidRPr="00BB66D8" w:rsidRDefault="00497C01" w:rsidP="001200F3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26" w:hanging="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require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deletion</w:t>
            </w:r>
            <w:proofErr w:type="spellEnd"/>
            <w:r w:rsidR="004B1C19" w:rsidRPr="00BB66D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C01" w:rsidRDefault="00497C01" w:rsidP="00497C01">
            <w:pPr>
              <w:pStyle w:val="Odstavecseseznamem"/>
              <w:numPr>
                <w:ilvl w:val="0"/>
                <w:numId w:val="17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require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restrictions</w:t>
            </w:r>
            <w:r w:rsidR="004B1C19" w:rsidRPr="00497C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spellEnd"/>
          </w:p>
          <w:p w:rsidR="00497C01" w:rsidRDefault="00497C01" w:rsidP="00497C01">
            <w:pPr>
              <w:pStyle w:val="Odstavecseseznamem"/>
              <w:numPr>
                <w:ilvl w:val="0"/>
                <w:numId w:val="17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submission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objections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against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="004B1C19" w:rsidRPr="00497C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1C19" w:rsidRPr="00497C01" w:rsidRDefault="00497C01" w:rsidP="00497C01">
            <w:pPr>
              <w:pStyle w:val="Odstavecseseznamem"/>
              <w:numPr>
                <w:ilvl w:val="0"/>
                <w:numId w:val="17"/>
              </w:num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require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portability </w:t>
            </w:r>
            <w:proofErr w:type="spellStart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497C01">
              <w:rPr>
                <w:rFonts w:ascii="Times New Roman" w:hAnsi="Times New Roman" w:cs="Times New Roman"/>
                <w:sz w:val="21"/>
                <w:szCs w:val="21"/>
              </w:rPr>
              <w:t xml:space="preserve"> data</w:t>
            </w:r>
            <w:r w:rsidR="004B1C19" w:rsidRPr="00497C0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bookmarkStart w:id="0" w:name="_GoBack"/>
        <w:bookmarkEnd w:id="0"/>
      </w:tr>
      <w:tr w:rsidR="00DC699F" w:rsidRPr="00BB66D8" w:rsidTr="00DC699F">
        <w:tc>
          <w:tcPr>
            <w:tcW w:w="2835" w:type="dxa"/>
          </w:tcPr>
          <w:p w:rsidR="00FE06CB" w:rsidRPr="00BB66D8" w:rsidRDefault="000A499C" w:rsidP="000A499C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right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withdraw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consent</w:t>
            </w:r>
            <w:proofErr w:type="spellEnd"/>
            <w:r w:rsidR="00E65BF1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FE06CB" w:rsidRPr="00BB66D8" w:rsidRDefault="001F036D" w:rsidP="001200F3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If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based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on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consent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65BF1"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then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right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revoke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consent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granted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at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any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  <w:proofErr w:type="spellEnd"/>
            <w:r w:rsidR="00E65BF1"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ithout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prejudice to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lawfulness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processing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based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on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consent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given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prior to </w:t>
            </w:r>
            <w:proofErr w:type="spellStart"/>
            <w:r w:rsidR="001200F3">
              <w:rPr>
                <w:rFonts w:ascii="Times New Roman" w:hAnsi="Times New Roman" w:cs="Times New Roman"/>
                <w:sz w:val="21"/>
                <w:szCs w:val="21"/>
              </w:rPr>
              <w:t>its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removal</w:t>
            </w:r>
            <w:proofErr w:type="spellEnd"/>
            <w:r w:rsidRPr="001F036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C699F" w:rsidRPr="00BB66D8" w:rsidTr="00DC699F">
        <w:tc>
          <w:tcPr>
            <w:tcW w:w="2835" w:type="dxa"/>
          </w:tcPr>
          <w:p w:rsidR="00FE06CB" w:rsidRPr="00BB66D8" w:rsidRDefault="000A499C" w:rsidP="000A499C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Right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complaint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Supervisory</w:t>
            </w:r>
            <w:proofErr w:type="spellEnd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A499C">
              <w:rPr>
                <w:rFonts w:ascii="Times New Roman" w:hAnsi="Times New Roman" w:cs="Times New Roman"/>
                <w:sz w:val="21"/>
                <w:szCs w:val="21"/>
              </w:rPr>
              <w:t>Authority</w:t>
            </w:r>
            <w:proofErr w:type="spellEnd"/>
            <w:r w:rsidR="00E65BF1" w:rsidRPr="00BB66D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24" w:type="dxa"/>
            <w:gridSpan w:val="2"/>
          </w:tcPr>
          <w:p w:rsidR="00FE06CB" w:rsidRPr="00BB66D8" w:rsidRDefault="001200F3" w:rsidP="00B16B4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subject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has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right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file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complaint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supervisory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authority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which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Office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for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Protection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65BF1" w:rsidRPr="00BB66D8">
              <w:rPr>
                <w:rFonts w:ascii="Times New Roman" w:hAnsi="Times New Roman" w:cs="Times New Roman"/>
                <w:sz w:val="21"/>
                <w:szCs w:val="21"/>
              </w:rPr>
              <w:t>(www.uoou.cz).</w:t>
            </w:r>
          </w:p>
        </w:tc>
      </w:tr>
      <w:tr w:rsidR="00DC699F" w:rsidRPr="00BB66D8" w:rsidTr="00DC699F">
        <w:tc>
          <w:tcPr>
            <w:tcW w:w="2835" w:type="dxa"/>
          </w:tcPr>
          <w:p w:rsidR="00FE06CB" w:rsidRPr="00BB66D8" w:rsidRDefault="00635558" w:rsidP="00635558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Legal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contractual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requirement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provide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conseque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nces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failure</w:t>
            </w:r>
            <w:proofErr w:type="spellEnd"/>
          </w:p>
        </w:tc>
        <w:tc>
          <w:tcPr>
            <w:tcW w:w="7824" w:type="dxa"/>
            <w:gridSpan w:val="2"/>
          </w:tcPr>
          <w:p w:rsidR="001200F3" w:rsidRPr="00BB66D8" w:rsidRDefault="001200F3" w:rsidP="001200F3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provision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based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on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both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contractual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statutory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requirements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Failure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to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provide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data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may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result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, in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particular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 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violation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and/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impossibility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entering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into</w:t>
            </w:r>
            <w:proofErr w:type="spellEnd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1200F3">
              <w:rPr>
                <w:rFonts w:ascii="Times New Roman" w:hAnsi="Times New Roman" w:cs="Times New Roman"/>
                <w:sz w:val="21"/>
                <w:szCs w:val="21"/>
              </w:rPr>
              <w:t>contract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C699F" w:rsidRPr="00BB66D8" w:rsidTr="003F1783">
        <w:tc>
          <w:tcPr>
            <w:tcW w:w="2835" w:type="dxa"/>
          </w:tcPr>
          <w:p w:rsidR="00E65BF1" w:rsidRPr="00BB66D8" w:rsidRDefault="00635558" w:rsidP="00635558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26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Automated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decision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making</w:t>
            </w:r>
            <w:proofErr w:type="spellEnd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35558">
              <w:rPr>
                <w:rFonts w:ascii="Times New Roman" w:hAnsi="Times New Roman" w:cs="Times New Roman"/>
                <w:sz w:val="21"/>
                <w:szCs w:val="21"/>
              </w:rPr>
              <w:t>profiling</w:t>
            </w:r>
            <w:proofErr w:type="spellEnd"/>
          </w:p>
        </w:tc>
        <w:tc>
          <w:tcPr>
            <w:tcW w:w="7824" w:type="dxa"/>
            <w:gridSpan w:val="2"/>
            <w:vAlign w:val="center"/>
          </w:tcPr>
          <w:p w:rsidR="00E65BF1" w:rsidRPr="00BB66D8" w:rsidRDefault="00635558" w:rsidP="00635558">
            <w:p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performed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FD2AB5" w:rsidRPr="00BB66D8" w:rsidRDefault="00FD2AB5" w:rsidP="00FE7EEC">
      <w:pPr>
        <w:spacing w:after="0" w:line="240" w:lineRule="auto"/>
        <w:ind w:left="6096"/>
        <w:rPr>
          <w:rFonts w:ascii="Times New Roman" w:hAnsi="Times New Roman" w:cs="Times New Roman"/>
          <w:sz w:val="21"/>
          <w:szCs w:val="21"/>
        </w:rPr>
      </w:pPr>
    </w:p>
    <w:sectPr w:rsidR="00FD2AB5" w:rsidRPr="00BB66D8" w:rsidSect="00463129">
      <w:footerReference w:type="default" r:id="rId10"/>
      <w:headerReference w:type="first" r:id="rId11"/>
      <w:footerReference w:type="first" r:id="rId12"/>
      <w:pgSz w:w="11906" w:h="16838"/>
      <w:pgMar w:top="1644" w:right="680" w:bottom="624" w:left="680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68" w:rsidRDefault="00DE2C68" w:rsidP="00FC388E">
      <w:pPr>
        <w:spacing w:after="0" w:line="240" w:lineRule="auto"/>
      </w:pPr>
      <w:r>
        <w:separator/>
      </w:r>
    </w:p>
  </w:endnote>
  <w:endnote w:type="continuationSeparator" w:id="0">
    <w:p w:rsidR="00DE2C68" w:rsidRDefault="00DE2C68" w:rsidP="00FC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76297"/>
      <w:docPartObj>
        <w:docPartGallery w:val="Page Numbers (Bottom of Page)"/>
        <w:docPartUnique/>
      </w:docPartObj>
    </w:sdtPr>
    <w:sdtEndPr/>
    <w:sdtContent>
      <w:sdt>
        <w:sdtPr>
          <w:id w:val="-1955699945"/>
          <w:docPartObj>
            <w:docPartGallery w:val="Page Numbers (Top of Page)"/>
            <w:docPartUnique/>
          </w:docPartObj>
        </w:sdtPr>
        <w:sdtEndPr/>
        <w:sdtContent>
          <w:p w:rsidR="00E609D4" w:rsidRDefault="00875AD1">
            <w:pPr>
              <w:pStyle w:val="Zpat"/>
              <w:jc w:val="center"/>
            </w:pPr>
            <w:r w:rsidRPr="00E609D4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E2D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609D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527D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9D4" w:rsidRDefault="00DE2C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8A" w:rsidRDefault="0023258A" w:rsidP="0023258A">
    <w:pPr>
      <w:spacing w:after="0"/>
      <w:jc w:val="both"/>
      <w:rPr>
        <w:rFonts w:ascii="Times New Roman" w:hAnsi="Times New Roman" w:cs="Times New Roman"/>
        <w:sz w:val="20"/>
        <w:szCs w:val="20"/>
      </w:rPr>
    </w:pPr>
  </w:p>
  <w:p w:rsidR="0023258A" w:rsidRPr="00A951A9" w:rsidRDefault="0023258A" w:rsidP="0023258A">
    <w:pPr>
      <w:spacing w:after="0"/>
      <w:jc w:val="both"/>
      <w:rPr>
        <w:rFonts w:ascii="Times New Roman" w:hAnsi="Times New Roman" w:cs="Times New Roman"/>
        <w:sz w:val="20"/>
        <w:szCs w:val="20"/>
      </w:rPr>
    </w:pPr>
  </w:p>
  <w:p w:rsidR="0023258A" w:rsidRDefault="00232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68" w:rsidRDefault="00DE2C68" w:rsidP="00FC388E">
      <w:pPr>
        <w:spacing w:after="0" w:line="240" w:lineRule="auto"/>
      </w:pPr>
      <w:r>
        <w:separator/>
      </w:r>
    </w:p>
  </w:footnote>
  <w:footnote w:type="continuationSeparator" w:id="0">
    <w:p w:rsidR="00DE2C68" w:rsidRDefault="00DE2C68" w:rsidP="00FC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19" w:rsidRDefault="00DE2C68" w:rsidP="00AD339B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2.1pt;margin-top:11.9pt;width:104.55pt;height:41.3pt;z-index:251659264;mso-position-horizontal-relative:text;mso-position-vertical-relative:text">
          <v:imagedata r:id="rId1" o:title="image001"/>
        </v:shape>
      </w:pict>
    </w:r>
  </w:p>
  <w:p w:rsidR="00031B6C" w:rsidRDefault="00031B6C" w:rsidP="00DC699F">
    <w:pPr>
      <w:pStyle w:val="Zhlav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FA"/>
    <w:multiLevelType w:val="hybridMultilevel"/>
    <w:tmpl w:val="8E1E8B88"/>
    <w:lvl w:ilvl="0" w:tplc="6B88D7C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61E61A7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20D"/>
    <w:multiLevelType w:val="hybridMultilevel"/>
    <w:tmpl w:val="C11A7C9E"/>
    <w:lvl w:ilvl="0" w:tplc="8C8697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A2F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EA2E7B"/>
    <w:multiLevelType w:val="hybridMultilevel"/>
    <w:tmpl w:val="6D0E1626"/>
    <w:lvl w:ilvl="0" w:tplc="186C3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4035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0D6C"/>
    <w:multiLevelType w:val="hybridMultilevel"/>
    <w:tmpl w:val="5A2E2B54"/>
    <w:lvl w:ilvl="0" w:tplc="B596A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55AF"/>
    <w:multiLevelType w:val="hybridMultilevel"/>
    <w:tmpl w:val="D4AE94F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7D93E39"/>
    <w:multiLevelType w:val="hybridMultilevel"/>
    <w:tmpl w:val="F0629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C9F"/>
    <w:multiLevelType w:val="hybridMultilevel"/>
    <w:tmpl w:val="CEC61942"/>
    <w:lvl w:ilvl="0" w:tplc="DA7E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B0D"/>
    <w:multiLevelType w:val="hybridMultilevel"/>
    <w:tmpl w:val="30A4693A"/>
    <w:lvl w:ilvl="0" w:tplc="8C869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F3D"/>
    <w:multiLevelType w:val="hybridMultilevel"/>
    <w:tmpl w:val="01CE9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05977"/>
    <w:multiLevelType w:val="hybridMultilevel"/>
    <w:tmpl w:val="C11A7C9E"/>
    <w:lvl w:ilvl="0" w:tplc="8C8697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1206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19C6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C59CB"/>
    <w:multiLevelType w:val="hybridMultilevel"/>
    <w:tmpl w:val="9C3299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7454"/>
    <w:multiLevelType w:val="multilevel"/>
    <w:tmpl w:val="D77E778E"/>
    <w:lvl w:ilvl="0">
      <w:start w:val="4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E"/>
    <w:rsid w:val="00025506"/>
    <w:rsid w:val="00031B6C"/>
    <w:rsid w:val="000527D7"/>
    <w:rsid w:val="000A33D9"/>
    <w:rsid w:val="000A499C"/>
    <w:rsid w:val="000A55FE"/>
    <w:rsid w:val="000B5969"/>
    <w:rsid w:val="001141BC"/>
    <w:rsid w:val="001200F3"/>
    <w:rsid w:val="00140A99"/>
    <w:rsid w:val="00165345"/>
    <w:rsid w:val="00182DC8"/>
    <w:rsid w:val="001B658B"/>
    <w:rsid w:val="001D43DD"/>
    <w:rsid w:val="001F036D"/>
    <w:rsid w:val="001F3D76"/>
    <w:rsid w:val="00215B52"/>
    <w:rsid w:val="0023258A"/>
    <w:rsid w:val="00244113"/>
    <w:rsid w:val="0025681B"/>
    <w:rsid w:val="00290E36"/>
    <w:rsid w:val="002A0CF8"/>
    <w:rsid w:val="0030666D"/>
    <w:rsid w:val="00334E96"/>
    <w:rsid w:val="00370D1C"/>
    <w:rsid w:val="00373926"/>
    <w:rsid w:val="003764AE"/>
    <w:rsid w:val="00391AD0"/>
    <w:rsid w:val="003F1783"/>
    <w:rsid w:val="004106D9"/>
    <w:rsid w:val="0044725B"/>
    <w:rsid w:val="00456288"/>
    <w:rsid w:val="00463129"/>
    <w:rsid w:val="0048746E"/>
    <w:rsid w:val="004943C3"/>
    <w:rsid w:val="00497C01"/>
    <w:rsid w:val="004B1C19"/>
    <w:rsid w:val="004C38F5"/>
    <w:rsid w:val="004C61CD"/>
    <w:rsid w:val="004F2ECA"/>
    <w:rsid w:val="005126CF"/>
    <w:rsid w:val="005258E4"/>
    <w:rsid w:val="005473E2"/>
    <w:rsid w:val="00557101"/>
    <w:rsid w:val="00597393"/>
    <w:rsid w:val="005A0D4F"/>
    <w:rsid w:val="005E31B4"/>
    <w:rsid w:val="005F1B49"/>
    <w:rsid w:val="00635558"/>
    <w:rsid w:val="006738DB"/>
    <w:rsid w:val="00683337"/>
    <w:rsid w:val="00691AD9"/>
    <w:rsid w:val="006A5E74"/>
    <w:rsid w:val="00710F0A"/>
    <w:rsid w:val="00717BF9"/>
    <w:rsid w:val="007550F2"/>
    <w:rsid w:val="00777560"/>
    <w:rsid w:val="007A5241"/>
    <w:rsid w:val="007D683F"/>
    <w:rsid w:val="008108B2"/>
    <w:rsid w:val="00875AD1"/>
    <w:rsid w:val="00886B1B"/>
    <w:rsid w:val="008B44D1"/>
    <w:rsid w:val="008D246E"/>
    <w:rsid w:val="008E1817"/>
    <w:rsid w:val="008E2D33"/>
    <w:rsid w:val="008E3619"/>
    <w:rsid w:val="009B695C"/>
    <w:rsid w:val="009C3817"/>
    <w:rsid w:val="009D478B"/>
    <w:rsid w:val="009D7389"/>
    <w:rsid w:val="00A10370"/>
    <w:rsid w:val="00A44459"/>
    <w:rsid w:val="00A448A5"/>
    <w:rsid w:val="00A55346"/>
    <w:rsid w:val="00A859FB"/>
    <w:rsid w:val="00A951A9"/>
    <w:rsid w:val="00AD339B"/>
    <w:rsid w:val="00AD69B1"/>
    <w:rsid w:val="00B10570"/>
    <w:rsid w:val="00B11DC4"/>
    <w:rsid w:val="00B16B47"/>
    <w:rsid w:val="00B2020E"/>
    <w:rsid w:val="00B32F42"/>
    <w:rsid w:val="00B34EB1"/>
    <w:rsid w:val="00B556D5"/>
    <w:rsid w:val="00BA72D2"/>
    <w:rsid w:val="00BB66D8"/>
    <w:rsid w:val="00C032AC"/>
    <w:rsid w:val="00C03C2D"/>
    <w:rsid w:val="00CA487A"/>
    <w:rsid w:val="00CD053F"/>
    <w:rsid w:val="00CE2195"/>
    <w:rsid w:val="00CE522E"/>
    <w:rsid w:val="00D1026F"/>
    <w:rsid w:val="00D136A0"/>
    <w:rsid w:val="00D975B8"/>
    <w:rsid w:val="00DC699F"/>
    <w:rsid w:val="00DE2C68"/>
    <w:rsid w:val="00DF14DC"/>
    <w:rsid w:val="00E61EB6"/>
    <w:rsid w:val="00E639B2"/>
    <w:rsid w:val="00E65BF1"/>
    <w:rsid w:val="00E74380"/>
    <w:rsid w:val="00E8152B"/>
    <w:rsid w:val="00E901C0"/>
    <w:rsid w:val="00E96039"/>
    <w:rsid w:val="00EC6D98"/>
    <w:rsid w:val="00F56B6D"/>
    <w:rsid w:val="00FC388E"/>
    <w:rsid w:val="00FD1B1D"/>
    <w:rsid w:val="00FD2AB5"/>
    <w:rsid w:val="00FE06C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8E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88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88E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FC38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FC388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rsid w:val="00FC388E"/>
    <w:rPr>
      <w:strike w:val="0"/>
      <w:dstrike w:val="0"/>
      <w:color w:val="10498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8A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497C0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8E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88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88E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FC38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FC388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rsid w:val="00FC388E"/>
    <w:rPr>
      <w:strike w:val="0"/>
      <w:dstrike w:val="0"/>
      <w:color w:val="10498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8A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497C0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2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508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rny@gascontr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EF6C-E3D9-4FE9-A9F0-5BED673C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Chamrád</dc:creator>
  <cp:keywords/>
  <dc:description/>
  <cp:lastModifiedBy>obchod11</cp:lastModifiedBy>
  <cp:revision>56</cp:revision>
  <cp:lastPrinted>2018-04-26T13:37:00Z</cp:lastPrinted>
  <dcterms:created xsi:type="dcterms:W3CDTF">2018-04-23T12:20:00Z</dcterms:created>
  <dcterms:modified xsi:type="dcterms:W3CDTF">2018-11-15T06:20:00Z</dcterms:modified>
</cp:coreProperties>
</file>