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6951"/>
      </w:tblGrid>
      <w:tr w:rsidR="00391645" w:rsidRPr="008D6870" w:rsidTr="00E10FFB">
        <w:tc>
          <w:tcPr>
            <w:tcW w:w="9640" w:type="dxa"/>
            <w:gridSpan w:val="3"/>
            <w:shd w:val="clear" w:color="auto" w:fill="D9D9D9"/>
          </w:tcPr>
          <w:p w:rsidR="00391645" w:rsidRPr="008D6870" w:rsidRDefault="008D6870" w:rsidP="008D6870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8D6870">
              <w:rPr>
                <w:b/>
                <w:sz w:val="22"/>
                <w:szCs w:val="22"/>
                <w:lang w:val="en-US"/>
              </w:rPr>
              <w:t xml:space="preserve">CHARACTERISTIC of the ADMINISTRATOR`S  CCTV </w:t>
            </w:r>
          </w:p>
        </w:tc>
      </w:tr>
      <w:tr w:rsidR="00391645" w:rsidRPr="008D6870" w:rsidTr="00E10FFB">
        <w:trPr>
          <w:trHeight w:val="519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127" w:type="dxa"/>
          </w:tcPr>
          <w:p w:rsidR="008D6870" w:rsidRPr="008D6870" w:rsidRDefault="008D6870" w:rsidP="0026090F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8D6870">
              <w:rPr>
                <w:b/>
                <w:sz w:val="22"/>
                <w:szCs w:val="22"/>
                <w:lang w:val="en-US"/>
              </w:rPr>
              <w:t>Number of connected cam</w:t>
            </w:r>
            <w:r w:rsidR="0026090F">
              <w:rPr>
                <w:b/>
                <w:sz w:val="22"/>
                <w:szCs w:val="22"/>
                <w:lang w:val="en-US"/>
              </w:rPr>
              <w:t>corders</w:t>
            </w:r>
          </w:p>
        </w:tc>
        <w:tc>
          <w:tcPr>
            <w:tcW w:w="6951" w:type="dxa"/>
            <w:shd w:val="clear" w:color="auto" w:fill="auto"/>
          </w:tcPr>
          <w:p w:rsidR="008D6870" w:rsidRPr="008D6870" w:rsidRDefault="008D6870" w:rsidP="008D6870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>Total of 50 stationary cameras, of which</w:t>
            </w:r>
          </w:p>
          <w:p w:rsidR="00391645" w:rsidRPr="008D6870" w:rsidRDefault="00391645" w:rsidP="008D6870">
            <w:pPr>
              <w:pStyle w:val="Odstavecseseznamem"/>
              <w:numPr>
                <w:ilvl w:val="0"/>
                <w:numId w:val="5"/>
              </w:numPr>
              <w:spacing w:before="60" w:after="60" w:line="288" w:lineRule="auto"/>
              <w:ind w:left="288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15 </w:t>
            </w:r>
            <w:r w:rsidR="008D6870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stationary </w:t>
            </w:r>
            <w:r w:rsidR="0026090F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camcorders</w:t>
            </w:r>
            <w:r w:rsidR="008D6870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in the Administrator`s headquarter;</w:t>
            </w:r>
          </w:p>
          <w:p w:rsidR="008D6870" w:rsidRDefault="00391645" w:rsidP="0026090F">
            <w:pPr>
              <w:pStyle w:val="Odstavecseseznamem"/>
              <w:numPr>
                <w:ilvl w:val="0"/>
                <w:numId w:val="5"/>
              </w:numPr>
              <w:spacing w:before="60" w:after="60" w:line="288" w:lineRule="auto"/>
              <w:ind w:left="32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20 </w:t>
            </w:r>
            <w:r w:rsidR="008D6870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stationary </w:t>
            </w:r>
            <w:r w:rsidR="0026090F" w:rsidRPr="0026090F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camcorders </w:t>
            </w:r>
            <w:r w:rsid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>at</w:t>
            </w:r>
            <w:r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Ul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Dělnická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883/46, Havířov -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Prostřední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Suchá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>ZIP CODE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735 64;</w:t>
            </w:r>
          </w:p>
          <w:p w:rsidR="00391645" w:rsidRPr="008D6870" w:rsidRDefault="00391645" w:rsidP="0026090F">
            <w:pPr>
              <w:pStyle w:val="Odstavecseseznamem"/>
              <w:numPr>
                <w:ilvl w:val="0"/>
                <w:numId w:val="5"/>
              </w:numPr>
              <w:spacing w:before="60" w:after="60" w:line="288" w:lineRule="auto"/>
              <w:ind w:left="32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 </w:t>
            </w:r>
            <w:r w:rsidR="008D6870"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stationary </w:t>
            </w:r>
            <w:r w:rsidR="0026090F" w:rsidRPr="0026090F">
              <w:rPr>
                <w:rFonts w:ascii="Times New Roman" w:hAnsi="Times New Roman"/>
                <w:sz w:val="22"/>
                <w:szCs w:val="22"/>
                <w:lang w:val="en-US"/>
              </w:rPr>
              <w:t>camcorders</w:t>
            </w:r>
            <w:r w:rsidR="008D6870"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8D6870">
              <w:rPr>
                <w:rFonts w:ascii="Times New Roman" w:hAnsi="Times New Roman"/>
                <w:sz w:val="22"/>
                <w:szCs w:val="22"/>
                <w:lang w:val="en-US"/>
              </w:rPr>
              <w:t>located at the Administrator`s gas station at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Dělnická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Havířov -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Prostřední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Suchá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>ZIP CODE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735 64;</w:t>
            </w:r>
          </w:p>
          <w:p w:rsidR="00391645" w:rsidRPr="008D6870" w:rsidRDefault="00391645" w:rsidP="00290D29">
            <w:pPr>
              <w:pStyle w:val="Odstavecseseznamem"/>
              <w:numPr>
                <w:ilvl w:val="0"/>
                <w:numId w:val="5"/>
              </w:numPr>
              <w:spacing w:before="60" w:after="60" w:line="288" w:lineRule="auto"/>
              <w:ind w:left="32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="00E10FFB"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stationary </w:t>
            </w:r>
            <w:r w:rsidR="0026090F" w:rsidRPr="0026090F">
              <w:rPr>
                <w:rFonts w:ascii="Times New Roman" w:hAnsi="Times New Roman"/>
                <w:sz w:val="22"/>
                <w:szCs w:val="22"/>
                <w:lang w:val="en-US"/>
              </w:rPr>
              <w:t>camcorders</w:t>
            </w:r>
            <w:r w:rsidR="00E10FFB"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>located at the Administrator`s gas and CNG station in the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90D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City of </w:t>
            </w:r>
            <w:proofErr w:type="spellStart"/>
            <w:r w:rsidR="00290D29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obrá</w:t>
            </w:r>
            <w:proofErr w:type="spellEnd"/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90D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Frýdk</w:t>
            </w:r>
            <w:r w:rsidR="00290D29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End"/>
            <w:r w:rsidR="00290D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Místk</w:t>
            </w:r>
            <w:r w:rsidR="00290D29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>ZIP CODE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739 51.</w:t>
            </w:r>
          </w:p>
        </w:tc>
      </w:tr>
      <w:tr w:rsidR="00391645" w:rsidRPr="008D6870" w:rsidTr="00E10FFB">
        <w:trPr>
          <w:trHeight w:val="42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127" w:type="dxa"/>
          </w:tcPr>
          <w:p w:rsidR="00391645" w:rsidRPr="008D6870" w:rsidRDefault="00E10FFB" w:rsidP="00E10FFB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E10FFB">
              <w:rPr>
                <w:b/>
                <w:sz w:val="22"/>
                <w:szCs w:val="22"/>
                <w:lang w:val="en-US"/>
              </w:rPr>
              <w:t xml:space="preserve">Legal title </w:t>
            </w:r>
            <w:r>
              <w:rPr>
                <w:b/>
                <w:sz w:val="22"/>
                <w:szCs w:val="22"/>
                <w:lang w:val="en-US"/>
              </w:rPr>
              <w:t>of personal data</w:t>
            </w:r>
            <w:r w:rsidRPr="00E10FFB">
              <w:rPr>
                <w:b/>
                <w:sz w:val="22"/>
                <w:szCs w:val="22"/>
                <w:lang w:val="en-US"/>
              </w:rPr>
              <w:t xml:space="preserve"> </w:t>
            </w:r>
            <w:r w:rsidR="003D781E">
              <w:rPr>
                <w:b/>
                <w:sz w:val="22"/>
                <w:szCs w:val="22"/>
                <w:lang w:val="en-US"/>
              </w:rPr>
              <w:t xml:space="preserve">processing </w:t>
            </w:r>
            <w:r w:rsidRPr="00E10FFB">
              <w:rPr>
                <w:b/>
                <w:sz w:val="22"/>
                <w:szCs w:val="22"/>
                <w:lang w:val="en-US"/>
              </w:rPr>
              <w:t>(legality of processing)</w:t>
            </w:r>
          </w:p>
        </w:tc>
        <w:tc>
          <w:tcPr>
            <w:tcW w:w="6951" w:type="dxa"/>
            <w:shd w:val="clear" w:color="auto" w:fill="auto"/>
          </w:tcPr>
          <w:p w:rsidR="003D781E" w:rsidRDefault="003D781E" w:rsidP="003D781E">
            <w:pPr>
              <w:numPr>
                <w:ilvl w:val="0"/>
                <w:numId w:val="1"/>
              </w:numPr>
              <w:spacing w:before="60" w:after="60" w:line="288" w:lineRule="auto"/>
              <w:ind w:left="323"/>
              <w:jc w:val="both"/>
              <w:rPr>
                <w:sz w:val="22"/>
                <w:szCs w:val="22"/>
                <w:lang w:val="en-US"/>
              </w:rPr>
            </w:pPr>
            <w:r w:rsidRPr="003D781E">
              <w:rPr>
                <w:sz w:val="22"/>
                <w:szCs w:val="22"/>
                <w:lang w:val="en-US"/>
              </w:rPr>
              <w:t>processing is necessary for the purposes of the legitimate interests of the Administrator - Article 6 (1) f) GDPR,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D781E">
              <w:rPr>
                <w:sz w:val="22"/>
                <w:szCs w:val="22"/>
                <w:lang w:val="en-US"/>
              </w:rPr>
              <w:t>eventually</w:t>
            </w:r>
          </w:p>
          <w:p w:rsidR="00391645" w:rsidRPr="003D781E" w:rsidRDefault="003D781E" w:rsidP="003D781E">
            <w:pPr>
              <w:numPr>
                <w:ilvl w:val="0"/>
                <w:numId w:val="1"/>
              </w:numPr>
              <w:spacing w:before="60" w:after="60" w:line="288" w:lineRule="auto"/>
              <w:ind w:left="323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D781E">
              <w:rPr>
                <w:sz w:val="22"/>
                <w:szCs w:val="22"/>
                <w:lang w:val="en-US"/>
              </w:rPr>
              <w:t>consent</w:t>
            </w:r>
            <w:proofErr w:type="gramEnd"/>
            <w:r w:rsidRPr="003D781E">
              <w:rPr>
                <w:sz w:val="22"/>
                <w:szCs w:val="22"/>
                <w:lang w:val="en-US"/>
              </w:rPr>
              <w:t xml:space="preserve"> of the data subject - Article 6 (1) (a) GDPRs (</w:t>
            </w:r>
            <w:proofErr w:type="spellStart"/>
            <w:r w:rsidRPr="003D781E">
              <w:rPr>
                <w:sz w:val="22"/>
                <w:szCs w:val="22"/>
                <w:lang w:val="en-US"/>
              </w:rPr>
              <w:t>ie</w:t>
            </w:r>
            <w:proofErr w:type="spellEnd"/>
            <w:r w:rsidRPr="003D781E">
              <w:rPr>
                <w:sz w:val="22"/>
                <w:szCs w:val="22"/>
                <w:lang w:val="en-US"/>
              </w:rPr>
              <w:t xml:space="preserve"> data subjects grant the Administrator the consent to process their personal data).</w:t>
            </w:r>
          </w:p>
        </w:tc>
      </w:tr>
      <w:tr w:rsidR="00391645" w:rsidRPr="008D6870" w:rsidTr="00E10FFB">
        <w:trPr>
          <w:trHeight w:val="42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127" w:type="dxa"/>
          </w:tcPr>
          <w:p w:rsidR="00391645" w:rsidRPr="008D6870" w:rsidRDefault="003D781E" w:rsidP="003D781E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</w:t>
            </w:r>
            <w:r w:rsidRPr="003D781E">
              <w:rPr>
                <w:b/>
                <w:sz w:val="22"/>
                <w:szCs w:val="22"/>
                <w:lang w:val="en-US"/>
              </w:rPr>
              <w:t>ata subjects</w:t>
            </w:r>
            <w:r>
              <w:rPr>
                <w:b/>
                <w:sz w:val="22"/>
                <w:szCs w:val="22"/>
                <w:lang w:val="en-US"/>
              </w:rPr>
              <w:t xml:space="preserve"> c</w:t>
            </w:r>
            <w:r w:rsidRPr="003D781E">
              <w:rPr>
                <w:b/>
                <w:sz w:val="22"/>
                <w:szCs w:val="22"/>
                <w:lang w:val="en-US"/>
              </w:rPr>
              <w:t>ategories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</w:rPr>
            </w:pPr>
            <w:r w:rsidRPr="008D6870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sz w:val="22"/>
                <w:szCs w:val="22"/>
                <w:lang w:val="en-US"/>
              </w:rPr>
            </w:r>
            <w:r w:rsidR="00FE46CB">
              <w:rPr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sz w:val="22"/>
                <w:szCs w:val="22"/>
                <w:lang w:val="en-US"/>
              </w:rPr>
              <w:t xml:space="preserve"> </w:t>
            </w:r>
            <w:r w:rsidR="008D6870" w:rsidRPr="008D6870">
              <w:rPr>
                <w:sz w:val="22"/>
                <w:szCs w:val="22"/>
                <w:lang w:val="en-US"/>
              </w:rPr>
              <w:t>Administrator</w:t>
            </w:r>
            <w:r w:rsidR="00E10FFB">
              <w:rPr>
                <w:sz w:val="22"/>
                <w:szCs w:val="22"/>
                <w:lang w:val="en-US"/>
              </w:rPr>
              <w:t>`s c</w:t>
            </w:r>
            <w:r w:rsidR="008D6870" w:rsidRPr="008D6870">
              <w:rPr>
                <w:sz w:val="22"/>
                <w:szCs w:val="22"/>
                <w:lang w:val="en-US"/>
              </w:rPr>
              <w:t xml:space="preserve">ustomers </w:t>
            </w:r>
            <w:r w:rsidRPr="008D6870">
              <w:rPr>
                <w:sz w:val="22"/>
                <w:szCs w:val="22"/>
                <w:lang w:val="en-US"/>
              </w:rPr>
              <w:t>(</w:t>
            </w:r>
            <w:r w:rsidR="008D6870" w:rsidRPr="008D6870">
              <w:rPr>
                <w:sz w:val="22"/>
                <w:szCs w:val="22"/>
                <w:lang w:val="en-US"/>
              </w:rPr>
              <w:t>C</w:t>
            </w:r>
            <w:r w:rsidRPr="008D6870">
              <w:rPr>
                <w:sz w:val="22"/>
                <w:szCs w:val="22"/>
                <w:lang w:val="en-US"/>
              </w:rPr>
              <w:t>lient</w:t>
            </w:r>
            <w:r w:rsidR="008D6870" w:rsidRPr="008D6870">
              <w:rPr>
                <w:sz w:val="22"/>
                <w:szCs w:val="22"/>
                <w:lang w:val="en-US"/>
              </w:rPr>
              <w:t>s</w:t>
            </w:r>
            <w:r w:rsidRPr="008D6870">
              <w:rPr>
                <w:sz w:val="22"/>
                <w:szCs w:val="22"/>
                <w:lang w:val="en-US"/>
              </w:rPr>
              <w:t xml:space="preserve">) </w:t>
            </w:r>
          </w:p>
          <w:p w:rsidR="00391645" w:rsidRPr="00E10FFB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>Administrator`s members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10F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Administrator`s employees 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3D781E" w:rsidRPr="003D781E">
              <w:rPr>
                <w:rFonts w:ascii="Times New Roman" w:hAnsi="Times New Roman"/>
                <w:sz w:val="22"/>
                <w:szCs w:val="22"/>
                <w:lang w:val="en-US"/>
              </w:rPr>
              <w:t>persons</w:t>
            </w:r>
            <w:proofErr w:type="gramEnd"/>
            <w:r w:rsidR="003D781E" w:rsidRPr="003D78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a different relationship to the Administrator 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 w:rsidR="003D781E" w:rsidRPr="003D781E">
              <w:rPr>
                <w:rFonts w:ascii="Times New Roman" w:hAnsi="Times New Roman"/>
                <w:sz w:val="22"/>
                <w:szCs w:val="22"/>
                <w:lang w:val="en-US"/>
              </w:rPr>
              <w:t>other persons moving on the premises and buildings of the notifier (visit</w:t>
            </w:r>
            <w:r w:rsidR="00131668">
              <w:rPr>
                <w:rFonts w:ascii="Times New Roman" w:hAnsi="Times New Roman"/>
                <w:sz w:val="22"/>
                <w:szCs w:val="22"/>
                <w:lang w:val="en-US"/>
              </w:rPr>
              <w:t>or</w:t>
            </w:r>
            <w:r w:rsidR="003D781E" w:rsidRPr="003D781E">
              <w:rPr>
                <w:rFonts w:ascii="Times New Roman" w:hAnsi="Times New Roman"/>
                <w:sz w:val="22"/>
                <w:szCs w:val="22"/>
                <w:lang w:val="en-US"/>
              </w:rPr>
              <w:t>s, contractors, carriers, inspections, intruders, etc.)</w:t>
            </w:r>
          </w:p>
        </w:tc>
      </w:tr>
      <w:tr w:rsidR="00391645" w:rsidRPr="008D6870" w:rsidTr="00E10FFB">
        <w:trPr>
          <w:trHeight w:val="42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Description of personal data categories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131668" w:rsidP="0026090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</w:rPr>
            </w:pPr>
            <w:r w:rsidRPr="00131668">
              <w:rPr>
                <w:sz w:val="22"/>
                <w:szCs w:val="22"/>
                <w:lang w:val="en-US"/>
              </w:rPr>
              <w:t>Identification data in the form of a cam</w:t>
            </w:r>
            <w:r w:rsidR="0026090F">
              <w:rPr>
                <w:sz w:val="22"/>
                <w:szCs w:val="22"/>
                <w:lang w:val="en-US"/>
              </w:rPr>
              <w:t>corder</w:t>
            </w:r>
            <w:r w:rsidRPr="00131668">
              <w:rPr>
                <w:sz w:val="22"/>
                <w:szCs w:val="22"/>
                <w:lang w:val="en-US"/>
              </w:rPr>
              <w:t xml:space="preserve"> record</w:t>
            </w:r>
            <w:r>
              <w:rPr>
                <w:sz w:val="22"/>
                <w:szCs w:val="22"/>
                <w:lang w:val="en-US"/>
              </w:rPr>
              <w:t>s</w:t>
            </w:r>
            <w:r w:rsidR="00391645" w:rsidRPr="008D6870">
              <w:rPr>
                <w:sz w:val="22"/>
                <w:szCs w:val="22"/>
                <w:lang w:val="en-US"/>
              </w:rPr>
              <w:t>.</w:t>
            </w:r>
          </w:p>
        </w:tc>
      </w:tr>
      <w:tr w:rsidR="00391645" w:rsidRPr="008D6870" w:rsidTr="00E10FFB">
        <w:trPr>
          <w:trHeight w:val="42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Purpose of the introduction of CCTV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131668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131668">
              <w:rPr>
                <w:sz w:val="22"/>
                <w:szCs w:val="22"/>
                <w:lang w:val="en-US"/>
              </w:rPr>
              <w:t>rotection of rights and interests protected by law - protection of property and security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131668">
              <w:rPr>
                <w:sz w:val="22"/>
                <w:szCs w:val="22"/>
                <w:lang w:val="en-US"/>
              </w:rPr>
              <w:t>enhancing the safety of persons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391645" w:rsidRPr="008D6870" w:rsidTr="00E10FFB">
        <w:trPr>
          <w:trHeight w:val="42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Recipients of personal data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131668" w:rsidP="001738EA">
            <w:pPr>
              <w:numPr>
                <w:ilvl w:val="0"/>
                <w:numId w:val="3"/>
              </w:numPr>
              <w:spacing w:before="60" w:after="60" w:line="288" w:lineRule="auto"/>
              <w:ind w:left="464"/>
              <w:jc w:val="both"/>
              <w:rPr>
                <w:sz w:val="22"/>
                <w:szCs w:val="22"/>
                <w:lang w:val="en-US"/>
              </w:rPr>
            </w:pPr>
            <w:r w:rsidRPr="00131668">
              <w:rPr>
                <w:sz w:val="22"/>
                <w:szCs w:val="22"/>
                <w:lang w:val="en-US"/>
              </w:rPr>
              <w:t>in justified cases, the law enforcement authorities</w:t>
            </w:r>
            <w:r w:rsidR="00391645" w:rsidRPr="008D6870">
              <w:rPr>
                <w:sz w:val="22"/>
                <w:szCs w:val="22"/>
                <w:lang w:val="en-US"/>
              </w:rPr>
              <w:t>;</w:t>
            </w:r>
          </w:p>
          <w:p w:rsidR="001738EA" w:rsidRPr="001738EA" w:rsidRDefault="001738EA" w:rsidP="001738EA">
            <w:pPr>
              <w:numPr>
                <w:ilvl w:val="0"/>
                <w:numId w:val="3"/>
              </w:numPr>
              <w:spacing w:before="60" w:after="60" w:line="288" w:lineRule="auto"/>
              <w:ind w:left="464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1738EA">
              <w:rPr>
                <w:sz w:val="22"/>
                <w:szCs w:val="22"/>
                <w:lang w:val="en-US"/>
              </w:rPr>
              <w:t>in justified cases, other stakeholders to fulfill the purpose of the processing (</w:t>
            </w:r>
            <w:proofErr w:type="spellStart"/>
            <w:r w:rsidRPr="001738EA">
              <w:rPr>
                <w:sz w:val="22"/>
                <w:szCs w:val="22"/>
                <w:lang w:val="en-US"/>
              </w:rPr>
              <w:t>eg</w:t>
            </w:r>
            <w:proofErr w:type="spellEnd"/>
            <w:r w:rsidRPr="001738EA">
              <w:rPr>
                <w:sz w:val="22"/>
                <w:szCs w:val="22"/>
                <w:lang w:val="en-US"/>
              </w:rPr>
              <w:t xml:space="preserve"> the insurance company);</w:t>
            </w:r>
          </w:p>
          <w:p w:rsidR="00391645" w:rsidRPr="008D6870" w:rsidRDefault="001738EA" w:rsidP="001738EA">
            <w:pPr>
              <w:numPr>
                <w:ilvl w:val="0"/>
                <w:numId w:val="3"/>
              </w:numPr>
              <w:spacing w:before="60" w:after="60" w:line="288" w:lineRule="auto"/>
              <w:ind w:left="464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1738EA">
              <w:rPr>
                <w:sz w:val="22"/>
                <w:szCs w:val="22"/>
                <w:lang w:val="en-US"/>
              </w:rPr>
              <w:t>An administrator does not intend to pass personal data to a third country (to a non-EU country) or an international organization.</w:t>
            </w:r>
          </w:p>
        </w:tc>
      </w:tr>
      <w:tr w:rsidR="00391645" w:rsidRPr="008D6870" w:rsidTr="00E10FFB">
        <w:trPr>
          <w:trHeight w:val="405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127" w:type="dxa"/>
          </w:tcPr>
          <w:p w:rsidR="00391645" w:rsidRPr="008D6870" w:rsidRDefault="0026090F" w:rsidP="00A11A4F">
            <w:pPr>
              <w:spacing w:before="60" w:after="60" w:line="288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Camcorder</w:t>
            </w:r>
            <w:r w:rsidR="00131668">
              <w:rPr>
                <w:b/>
                <w:sz w:val="22"/>
                <w:szCs w:val="22"/>
                <w:lang w:val="en-US"/>
              </w:rPr>
              <w:t>s locations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>
              <w:rPr>
                <w:rFonts w:ascii="Times New Roman" w:hAnsi="Times New Roman"/>
                <w:sz w:val="22"/>
                <w:szCs w:val="22"/>
                <w:lang w:val="en-US"/>
              </w:rPr>
              <w:t>parking lot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>
              <w:rPr>
                <w:rFonts w:ascii="Times New Roman" w:hAnsi="Times New Roman"/>
                <w:sz w:val="22"/>
                <w:szCs w:val="22"/>
                <w:lang w:val="en-US"/>
              </w:rPr>
              <w:t>manufacturing facilities</w:t>
            </w:r>
          </w:p>
          <w:p w:rsidR="001738EA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sales premises (at gas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stations of the Administrator)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>
              <w:rPr>
                <w:rFonts w:ascii="Times New Roman" w:hAnsi="Times New Roman"/>
                <w:sz w:val="22"/>
                <w:szCs w:val="22"/>
                <w:lang w:val="en-US"/>
              </w:rPr>
              <w:t>storage areas</w:t>
            </w:r>
          </w:p>
          <w:p w:rsidR="00391645" w:rsidRPr="008D6870" w:rsidRDefault="00391645" w:rsidP="001738EA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>
              <w:rPr>
                <w:rFonts w:ascii="Times New Roman" w:hAnsi="Times New Roman"/>
                <w:sz w:val="22"/>
                <w:szCs w:val="22"/>
                <w:lang w:val="en-US"/>
              </w:rPr>
              <w:t>gatehouse entrance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127" w:type="dxa"/>
          </w:tcPr>
          <w:p w:rsidR="00391645" w:rsidRPr="008D6870" w:rsidRDefault="00131668" w:rsidP="0026090F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Cam</w:t>
            </w:r>
            <w:r w:rsidR="0026090F">
              <w:rPr>
                <w:b/>
                <w:sz w:val="22"/>
                <w:szCs w:val="22"/>
                <w:lang w:val="en-US"/>
              </w:rPr>
              <w:t>corders</w:t>
            </w:r>
            <w:r w:rsidRPr="00131668">
              <w:rPr>
                <w:b/>
                <w:sz w:val="22"/>
                <w:szCs w:val="22"/>
                <w:lang w:val="en-US"/>
              </w:rPr>
              <w:t xml:space="preserve"> mode, character of </w:t>
            </w:r>
            <w:r w:rsidRPr="00131668">
              <w:rPr>
                <w:b/>
                <w:sz w:val="22"/>
                <w:szCs w:val="22"/>
                <w:lang w:val="en-US"/>
              </w:rPr>
              <w:lastRenderedPageBreak/>
              <w:t>Processed Data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recording device with a period of record in the length of 168 hours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continuous recording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simple video recording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9.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Deadline for deletion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1738EA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738EA">
              <w:rPr>
                <w:rFonts w:ascii="Times New Roman" w:hAnsi="Times New Roman"/>
                <w:sz w:val="22"/>
                <w:szCs w:val="22"/>
                <w:lang w:val="en-US"/>
              </w:rPr>
              <w:t>After 168 hours. The resolved incident is retained for the required time</w:t>
            </w:r>
            <w:r w:rsidR="00391645"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 xml:space="preserve">How data subjects are informed about the use of </w:t>
            </w:r>
            <w:r>
              <w:rPr>
                <w:b/>
                <w:sz w:val="22"/>
                <w:szCs w:val="22"/>
                <w:lang w:val="en-US"/>
              </w:rPr>
              <w:t>CCTV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internal regulations of the Administrator (Directive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by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written information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738EA" w:rsidRPr="001738EA">
              <w:rPr>
                <w:rFonts w:ascii="Times New Roman" w:hAnsi="Times New Roman"/>
                <w:sz w:val="22"/>
                <w:szCs w:val="22"/>
                <w:lang w:val="en-US"/>
              </w:rPr>
              <w:t>information panels located in the monitored area which contains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 w:rsidR="00391645" w:rsidRPr="008D6870" w:rsidRDefault="0026090F" w:rsidP="00391645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Camcorder image</w:t>
            </w:r>
          </w:p>
          <w:p w:rsidR="00391645" w:rsidRPr="008D6870" w:rsidRDefault="0026090F" w:rsidP="00391645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Information about monitoring</w:t>
            </w:r>
          </w:p>
          <w:p w:rsidR="0026090F" w:rsidRPr="0026090F" w:rsidRDefault="0026090F" w:rsidP="0026090F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Administrator`s identification</w:t>
            </w:r>
          </w:p>
          <w:p w:rsidR="00391645" w:rsidRPr="0026090F" w:rsidRDefault="0026090F" w:rsidP="0026090F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6090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information on the availability of so-called more detailed information regarding the operating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CCTV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Registration of the camera system at the Office for Personal Data Protection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391645" w:rsidRPr="008D6870" w:rsidRDefault="007E72AE" w:rsidP="007E72AE">
            <w:pPr>
              <w:pStyle w:val="Odstavecseseznamem"/>
              <w:spacing w:before="60" w:after="60" w:line="288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Administrator`s CCTV was registered by </w:t>
            </w:r>
            <w:r w:rsidRPr="007E72AE">
              <w:rPr>
                <w:rFonts w:ascii="Times New Roman" w:hAnsi="Times New Roman"/>
                <w:sz w:val="22"/>
                <w:szCs w:val="22"/>
                <w:lang w:val="en-US"/>
              </w:rPr>
              <w:t>Office for Personal Data Protection pursuant to Act No. 101/2000 Coll., on the Protection of Personal Data and on Amendments to Certain Acts..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Method of action to ensure protection of recording devices, portable channels and data carriers on which records are stored</w:t>
            </w:r>
          </w:p>
        </w:tc>
        <w:tc>
          <w:tcPr>
            <w:tcW w:w="6951" w:type="dxa"/>
            <w:shd w:val="clear" w:color="auto" w:fill="auto"/>
          </w:tcPr>
          <w:p w:rsidR="007E72AE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E72AE" w:rsidRPr="007E72AE">
              <w:rPr>
                <w:rFonts w:ascii="Times New Roman" w:hAnsi="Times New Roman"/>
                <w:sz w:val="22"/>
                <w:szCs w:val="22"/>
                <w:lang w:val="en-US"/>
              </w:rPr>
              <w:t>security of transmission routes from unauthorized access (in troughs and pads, termination in lockable switchboards)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E72AE" w:rsidRPr="007E72AE">
              <w:rPr>
                <w:rFonts w:ascii="Times New Roman" w:hAnsi="Times New Roman"/>
                <w:sz w:val="22"/>
                <w:szCs w:val="22"/>
                <w:lang w:val="en-US"/>
              </w:rPr>
              <w:t>security of a recording device, data storage, or data carrier</w:t>
            </w:r>
          </w:p>
          <w:p w:rsidR="00391645" w:rsidRPr="008D6870" w:rsidRDefault="00391645" w:rsidP="00A11A4F">
            <w:pPr>
              <w:pStyle w:val="Odstavecseseznamem"/>
              <w:spacing w:before="60" w:after="60" w:line="288" w:lineRule="auto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E72AE" w:rsidRPr="007E72AE">
              <w:rPr>
                <w:rFonts w:ascii="Times New Roman" w:hAnsi="Times New Roman"/>
                <w:sz w:val="22"/>
                <w:szCs w:val="22"/>
                <w:lang w:val="en-US"/>
              </w:rPr>
              <w:t>controlling access to the area location (e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7E72AE" w:rsidRPr="007E72AE">
              <w:rPr>
                <w:rFonts w:ascii="Times New Roman" w:hAnsi="Times New Roman"/>
                <w:sz w:val="22"/>
                <w:szCs w:val="22"/>
                <w:lang w:val="en-US"/>
              </w:rPr>
              <w:t>g. a locked door, a key mode)</w:t>
            </w:r>
          </w:p>
          <w:p w:rsidR="0026090F" w:rsidRDefault="00391645" w:rsidP="0026090F">
            <w:pPr>
              <w:pStyle w:val="Odstavecseseznamem"/>
              <w:spacing w:before="60" w:after="60" w:line="288" w:lineRule="auto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6090F" w:rsidRPr="00260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data access control </w:t>
            </w:r>
            <w:r w:rsidR="007E72AE" w:rsidRPr="007E72AE">
              <w:rPr>
                <w:rFonts w:ascii="Times New Roman" w:hAnsi="Times New Roman"/>
                <w:sz w:val="22"/>
                <w:szCs w:val="22"/>
                <w:lang w:val="en-US"/>
              </w:rPr>
              <w:t>(only authorized personnel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Administrator</w:t>
            </w:r>
            <w:r w:rsidR="007E72AE" w:rsidRPr="007E72AE">
              <w:rPr>
                <w:rFonts w:ascii="Times New Roman" w:hAnsi="Times New Roman"/>
                <w:sz w:val="22"/>
                <w:szCs w:val="22"/>
                <w:lang w:val="en-US"/>
              </w:rPr>
              <w:t>, logging via username and password)</w:t>
            </w:r>
          </w:p>
          <w:p w:rsidR="0026090F" w:rsidRDefault="00391645" w:rsidP="0026090F">
            <w:pPr>
              <w:pStyle w:val="Odstavecseseznamem"/>
              <w:spacing w:before="60" w:after="60" w:line="288" w:lineRule="auto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6090F" w:rsidRPr="0026090F">
              <w:rPr>
                <w:rFonts w:ascii="Times New Roman" w:hAnsi="Times New Roman"/>
                <w:sz w:val="22"/>
                <w:szCs w:val="22"/>
                <w:lang w:val="en-US"/>
              </w:rPr>
              <w:t>data backup and data carrier protection</w:t>
            </w:r>
          </w:p>
          <w:p w:rsidR="00391645" w:rsidRPr="008D6870" w:rsidRDefault="00391645" w:rsidP="0026090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FE46CB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>Directive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127" w:type="dxa"/>
          </w:tcPr>
          <w:p w:rsidR="00391645" w:rsidRPr="008D6870" w:rsidRDefault="00131668" w:rsidP="00A11A4F">
            <w:pPr>
              <w:spacing w:before="60" w:after="60" w:line="288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Processor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26090F" w:rsidP="00A11A4F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6090F">
              <w:rPr>
                <w:rFonts w:ascii="Times New Roman" w:hAnsi="Times New Roman"/>
                <w:sz w:val="22"/>
                <w:szCs w:val="22"/>
                <w:lang w:val="en-US"/>
              </w:rPr>
              <w:t>It is not being performed.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bCs/>
                <w:sz w:val="22"/>
                <w:szCs w:val="22"/>
                <w:lang w:val="en-US"/>
              </w:rPr>
              <w:t xml:space="preserve">Places of processing of personal data, if different from the address of the </w:t>
            </w:r>
            <w:proofErr w:type="spellStart"/>
            <w:r w:rsidRPr="00131668">
              <w:rPr>
                <w:b/>
                <w:bCs/>
                <w:sz w:val="22"/>
                <w:szCs w:val="22"/>
                <w:lang w:val="en-US"/>
              </w:rPr>
              <w:t>notifier's</w:t>
            </w:r>
            <w:proofErr w:type="spellEnd"/>
            <w:r w:rsidRPr="00131668">
              <w:rPr>
                <w:b/>
                <w:bCs/>
                <w:sz w:val="22"/>
                <w:szCs w:val="22"/>
                <w:lang w:val="en-US"/>
              </w:rPr>
              <w:t xml:space="preserve"> seat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391645" w:rsidP="00391645">
            <w:pPr>
              <w:pStyle w:val="Odstavecseseznamem"/>
              <w:numPr>
                <w:ilvl w:val="0"/>
                <w:numId w:val="4"/>
              </w:numPr>
              <w:spacing w:before="60" w:after="60" w:line="288" w:lineRule="auto"/>
              <w:ind w:left="288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Ul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Dělnická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883/46, Havířov -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Prostřední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Suchá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ZIP CODE 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735 64;</w:t>
            </w:r>
          </w:p>
          <w:p w:rsidR="00391645" w:rsidRPr="008D6870" w:rsidRDefault="00391645" w:rsidP="00391645">
            <w:pPr>
              <w:pStyle w:val="Odstavecseseznamem"/>
              <w:numPr>
                <w:ilvl w:val="0"/>
                <w:numId w:val="4"/>
              </w:numPr>
              <w:spacing w:before="60" w:after="60" w:line="288" w:lineRule="auto"/>
              <w:ind w:left="288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Slezská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Administrator`s gas 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>nd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CNG </w:t>
            </w:r>
            <w:r w:rsidR="0026090F">
              <w:rPr>
                <w:rFonts w:ascii="Times New Roman" w:hAnsi="Times New Roman"/>
                <w:sz w:val="22"/>
                <w:szCs w:val="22"/>
                <w:lang w:val="en-US"/>
              </w:rPr>
              <w:t>station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), </w:t>
            </w:r>
            <w:r w:rsidR="00B25B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city of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Dobrá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Frýdku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Místku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B25BF6">
              <w:rPr>
                <w:rFonts w:ascii="Times New Roman" w:hAnsi="Times New Roman"/>
                <w:sz w:val="22"/>
                <w:szCs w:val="22"/>
                <w:lang w:val="en-US"/>
              </w:rPr>
              <w:t>ZIP CODE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739 51;</w:t>
            </w:r>
          </w:p>
          <w:p w:rsidR="00391645" w:rsidRPr="008D6870" w:rsidRDefault="00391645" w:rsidP="00B25BF6">
            <w:pPr>
              <w:pStyle w:val="Odstavecseseznamem"/>
              <w:numPr>
                <w:ilvl w:val="0"/>
                <w:numId w:val="4"/>
              </w:numPr>
              <w:spacing w:before="60" w:after="60" w:line="288" w:lineRule="auto"/>
              <w:ind w:left="288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Dělnická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B25BF6">
              <w:rPr>
                <w:rFonts w:ascii="Times New Roman" w:hAnsi="Times New Roman"/>
                <w:sz w:val="22"/>
                <w:szCs w:val="22"/>
                <w:lang w:val="en-US"/>
              </w:rPr>
              <w:t>Administrator`s gas station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), Havířov -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Prostřední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>Suchá</w:t>
            </w:r>
            <w:proofErr w:type="spellEnd"/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B25BF6">
              <w:rPr>
                <w:rFonts w:ascii="Times New Roman" w:hAnsi="Times New Roman"/>
                <w:sz w:val="22"/>
                <w:szCs w:val="22"/>
                <w:lang w:val="en-US"/>
              </w:rPr>
              <w:t>ZIP CODE</w:t>
            </w:r>
            <w:r w:rsidRPr="008D68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735 64,</w:t>
            </w:r>
          </w:p>
        </w:tc>
      </w:tr>
      <w:tr w:rsidR="00391645" w:rsidRPr="008D6870" w:rsidTr="00E10FFB">
        <w:trPr>
          <w:trHeight w:val="567"/>
        </w:trPr>
        <w:tc>
          <w:tcPr>
            <w:tcW w:w="562" w:type="dxa"/>
          </w:tcPr>
          <w:p w:rsidR="00391645" w:rsidRPr="008D6870" w:rsidRDefault="00391645" w:rsidP="00A11A4F">
            <w:pPr>
              <w:spacing w:before="60" w:after="60" w:line="288" w:lineRule="auto"/>
              <w:jc w:val="both"/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870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127" w:type="dxa"/>
          </w:tcPr>
          <w:p w:rsidR="00391645" w:rsidRPr="008D6870" w:rsidRDefault="00131668" w:rsidP="00131668">
            <w:pPr>
              <w:spacing w:before="60" w:after="60" w:line="288" w:lineRule="auto"/>
              <w:rPr>
                <w:b/>
                <w:sz w:val="22"/>
                <w:szCs w:val="22"/>
                <w:lang w:val="en-US"/>
              </w:rPr>
            </w:pPr>
            <w:r w:rsidRPr="00131668">
              <w:rPr>
                <w:b/>
                <w:sz w:val="22"/>
                <w:szCs w:val="22"/>
                <w:lang w:val="en-US"/>
              </w:rPr>
              <w:t>Compliance with GDPR</w:t>
            </w:r>
          </w:p>
        </w:tc>
        <w:tc>
          <w:tcPr>
            <w:tcW w:w="6951" w:type="dxa"/>
            <w:shd w:val="clear" w:color="auto" w:fill="auto"/>
          </w:tcPr>
          <w:p w:rsidR="00391645" w:rsidRPr="008D6870" w:rsidRDefault="00290D29" w:rsidP="00290D29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Administrator considers that he fulfills all the conditions prescribed within the GDPR</w:t>
            </w:r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Especially that </w:t>
            </w:r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>(</w:t>
            </w:r>
            <w:proofErr w:type="spellStart"/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>i</w:t>
            </w:r>
            <w:proofErr w:type="spellEnd"/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.)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A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dministrator assess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ed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the potential risks associated with the processing of personal data in terms of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Administrator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; </w:t>
            </w:r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(ii.)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was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taken such organizational and technical measures to prevent unrestricted third party access to processed personal data</w:t>
            </w:r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; (iii.) 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ensure a level of security appropriate to the risk involved; </w:t>
            </w:r>
            <w:r w:rsidR="00391645" w:rsidRPr="008D687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(iv.) 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 administrator </w:t>
            </w:r>
            <w:r w:rsidRPr="00290D2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fulfills the information obligation in relation to the data subjects, including the proper designation of the monitored area by the information label.</w:t>
            </w:r>
            <w:bookmarkStart w:id="0" w:name="_GoBack"/>
            <w:bookmarkEnd w:id="0"/>
          </w:p>
        </w:tc>
      </w:tr>
    </w:tbl>
    <w:p w:rsidR="00584B6E" w:rsidRDefault="00584B6E"/>
    <w:sectPr w:rsidR="00584B6E" w:rsidSect="00C933FE">
      <w:headerReference w:type="defaul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B" w:rsidRDefault="00FE46CB" w:rsidP="00C933FE">
      <w:r>
        <w:separator/>
      </w:r>
    </w:p>
  </w:endnote>
  <w:endnote w:type="continuationSeparator" w:id="0">
    <w:p w:rsidR="00FE46CB" w:rsidRDefault="00FE46CB" w:rsidP="00C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B" w:rsidRDefault="00FE46CB" w:rsidP="00C933FE">
      <w:r>
        <w:separator/>
      </w:r>
    </w:p>
  </w:footnote>
  <w:footnote w:type="continuationSeparator" w:id="0">
    <w:p w:rsidR="00FE46CB" w:rsidRDefault="00FE46CB" w:rsidP="00C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FE" w:rsidRDefault="004E179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-106320</wp:posOffset>
          </wp:positionH>
          <wp:positionV relativeFrom="paragraph">
            <wp:posOffset>-255067</wp:posOffset>
          </wp:positionV>
          <wp:extent cx="1323975" cy="518795"/>
          <wp:effectExtent l="0" t="0" r="9525" b="0"/>
          <wp:wrapNone/>
          <wp:docPr id="10" name="Obrázek 10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31F"/>
    <w:multiLevelType w:val="hybridMultilevel"/>
    <w:tmpl w:val="ACB89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38F2"/>
    <w:multiLevelType w:val="hybridMultilevel"/>
    <w:tmpl w:val="A93006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0F43"/>
    <w:multiLevelType w:val="hybridMultilevel"/>
    <w:tmpl w:val="F00ECB22"/>
    <w:lvl w:ilvl="0" w:tplc="4AF4C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03DB"/>
    <w:multiLevelType w:val="hybridMultilevel"/>
    <w:tmpl w:val="2408A9D4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0767E1"/>
    <w:multiLevelType w:val="hybridMultilevel"/>
    <w:tmpl w:val="EA4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5231"/>
    <w:multiLevelType w:val="hybridMultilevel"/>
    <w:tmpl w:val="CA606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E"/>
    <w:rsid w:val="00131668"/>
    <w:rsid w:val="001738EA"/>
    <w:rsid w:val="001F2C77"/>
    <w:rsid w:val="0023595E"/>
    <w:rsid w:val="0026090F"/>
    <w:rsid w:val="00290D29"/>
    <w:rsid w:val="00391645"/>
    <w:rsid w:val="003D781E"/>
    <w:rsid w:val="00416C31"/>
    <w:rsid w:val="004E179E"/>
    <w:rsid w:val="00584B6E"/>
    <w:rsid w:val="007E72AE"/>
    <w:rsid w:val="008D6870"/>
    <w:rsid w:val="00982FB9"/>
    <w:rsid w:val="00B25BF6"/>
    <w:rsid w:val="00C933FE"/>
    <w:rsid w:val="00E10FFB"/>
    <w:rsid w:val="00EF21C7"/>
    <w:rsid w:val="00F179B8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933FE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C933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93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3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3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33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933FE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C933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93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3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3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33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obchod11</cp:lastModifiedBy>
  <cp:revision>7</cp:revision>
  <dcterms:created xsi:type="dcterms:W3CDTF">2018-05-19T06:27:00Z</dcterms:created>
  <dcterms:modified xsi:type="dcterms:W3CDTF">2018-11-15T11:03:00Z</dcterms:modified>
</cp:coreProperties>
</file>